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line="276" w:lineRule="auto"/>
        <w:jc w:val="center"/>
        <w:rPr>
          <w:rFonts w:ascii="Arial Narrow" w:hAnsi="Arial Narrow" w:eastAsia="黑体"/>
          <w:b/>
          <w:sz w:val="52"/>
          <w:szCs w:val="52"/>
        </w:rPr>
      </w:pPr>
      <w:r>
        <w:rPr>
          <w:rFonts w:hint="eastAsia" w:ascii="Arial Narrow" w:hAnsi="黑体" w:eastAsia="黑体" w:cs="宋体"/>
          <w:b/>
          <w:sz w:val="52"/>
          <w:szCs w:val="52"/>
        </w:rPr>
        <w:t>全国职业院校技能大赛</w:t>
      </w:r>
    </w:p>
    <w:p>
      <w:pPr>
        <w:snapToGrid w:val="0"/>
        <w:spacing w:line="276" w:lineRule="auto"/>
        <w:jc w:val="center"/>
        <w:rPr>
          <w:rFonts w:hint="eastAsia" w:ascii="Arial Narrow" w:hAnsi="黑体" w:eastAsia="黑体" w:cs="宋体"/>
          <w:b/>
          <w:sz w:val="36"/>
          <w:szCs w:val="36"/>
        </w:rPr>
      </w:pPr>
      <w:r>
        <w:rPr>
          <w:rFonts w:hint="eastAsia" w:ascii="Arial Narrow" w:hAnsi="黑体" w:eastAsia="黑体" w:cs="宋体"/>
          <w:b/>
          <w:sz w:val="36"/>
          <w:szCs w:val="36"/>
          <w:lang w:val="en-US" w:eastAsia="zh-CN"/>
        </w:rPr>
        <w:t>高职组</w:t>
      </w:r>
      <w:r>
        <w:rPr>
          <w:rFonts w:hint="eastAsia" w:ascii="Arial Narrow" w:hAnsi="黑体" w:eastAsia="黑体" w:cs="宋体"/>
          <w:b/>
          <w:sz w:val="36"/>
          <w:szCs w:val="36"/>
        </w:rPr>
        <w:t>创新创业</w:t>
      </w:r>
      <w:bookmarkStart w:id="0" w:name="_GoBack"/>
      <w:bookmarkEnd w:id="0"/>
      <w:r>
        <w:rPr>
          <w:rFonts w:hint="eastAsia" w:ascii="Arial Narrow" w:hAnsi="黑体" w:eastAsia="黑体" w:cs="宋体"/>
          <w:b/>
          <w:sz w:val="36"/>
          <w:szCs w:val="36"/>
        </w:rPr>
        <w:t>赛项-知识部分</w:t>
      </w:r>
    </w:p>
    <w:p>
      <w:pPr>
        <w:snapToGrid w:val="0"/>
        <w:spacing w:line="276" w:lineRule="auto"/>
        <w:jc w:val="center"/>
        <w:rPr>
          <w:rFonts w:hint="default" w:ascii="Arial Narrow" w:hAnsi="黑体" w:eastAsia="黑体" w:cs="宋体"/>
          <w:b/>
          <w:sz w:val="36"/>
          <w:szCs w:val="36"/>
          <w:lang w:val="en-US" w:eastAsia="zh-CN"/>
        </w:rPr>
      </w:pPr>
      <w:r>
        <w:rPr>
          <w:rFonts w:hint="eastAsia" w:ascii="Arial Narrow" w:hAnsi="黑体" w:eastAsia="黑体" w:cs="宋体"/>
          <w:b/>
          <w:sz w:val="36"/>
          <w:szCs w:val="36"/>
          <w:lang w:val="en-US" w:eastAsia="zh-CN"/>
        </w:rPr>
        <w:t>第八套</w:t>
      </w:r>
    </w:p>
    <w:p>
      <w:pPr>
        <w:snapToGrid w:val="0"/>
        <w:spacing w:line="276" w:lineRule="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按选手所获成绩×10%计入总成绩。</w:t>
      </w:r>
    </w:p>
    <w:p>
      <w:pPr>
        <w:snapToGrid w:val="0"/>
        <w:spacing w:before="156" w:beforeLines="50" w:after="156" w:afterLines="50" w:line="276" w:lineRule="auto"/>
        <w:rPr>
          <w:b/>
          <w:bCs/>
          <w:sz w:val="28"/>
          <w:szCs w:val="28"/>
        </w:rPr>
      </w:pPr>
      <w:r>
        <w:rPr>
          <w:rFonts w:hint="eastAsia"/>
          <w:b/>
          <w:bCs/>
          <w:sz w:val="28"/>
          <w:szCs w:val="28"/>
        </w:rPr>
        <w:t>一、简答（每题</w:t>
      </w:r>
      <w:r>
        <w:rPr>
          <w:rFonts w:hint="eastAsia"/>
          <w:b/>
          <w:bCs/>
          <w:sz w:val="28"/>
          <w:szCs w:val="28"/>
          <w:lang w:val="en-US" w:eastAsia="zh-CN"/>
        </w:rPr>
        <w:t>15</w:t>
      </w:r>
      <w:r>
        <w:rPr>
          <w:rFonts w:hint="eastAsia"/>
          <w:b/>
          <w:bCs/>
          <w:sz w:val="28"/>
          <w:szCs w:val="28"/>
        </w:rPr>
        <w:t>分，共</w:t>
      </w:r>
      <w:r>
        <w:rPr>
          <w:b/>
          <w:bCs/>
          <w:sz w:val="28"/>
          <w:szCs w:val="28"/>
        </w:rPr>
        <w:t>30</w:t>
      </w:r>
      <w:r>
        <w:rPr>
          <w:rFonts w:hint="eastAsia"/>
          <w:b/>
          <w:bCs/>
          <w:sz w:val="28"/>
          <w:szCs w:val="28"/>
        </w:rPr>
        <w:t>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rPr>
        <w:t>Y品牌常温利乐包牛奶4月7日-13日在B大学校内超市一周销售数据见下表：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常温奶销售周报（单位：箱）</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997"/>
        <w:gridCol w:w="1134"/>
        <w:gridCol w:w="1134"/>
        <w:gridCol w:w="1181"/>
        <w:gridCol w:w="1087"/>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日期</w:t>
            </w:r>
          </w:p>
        </w:tc>
        <w:tc>
          <w:tcPr>
            <w:tcW w:w="99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周一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（4.7）</w:t>
            </w:r>
          </w:p>
        </w:tc>
        <w:tc>
          <w:tcPr>
            <w:tcW w:w="113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周二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（4.8）</w:t>
            </w:r>
          </w:p>
        </w:tc>
        <w:tc>
          <w:tcPr>
            <w:tcW w:w="113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周三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（4.9）</w:t>
            </w:r>
          </w:p>
        </w:tc>
        <w:tc>
          <w:tcPr>
            <w:tcW w:w="118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周四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（4.10）</w:t>
            </w:r>
          </w:p>
        </w:tc>
        <w:tc>
          <w:tcPr>
            <w:tcW w:w="1087"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周五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（4.11）</w:t>
            </w:r>
          </w:p>
        </w:tc>
        <w:tc>
          <w:tcPr>
            <w:tcW w:w="113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周六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（4.12）</w:t>
            </w:r>
          </w:p>
        </w:tc>
        <w:tc>
          <w:tcPr>
            <w:tcW w:w="113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周日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销量</w:t>
            </w:r>
          </w:p>
        </w:tc>
        <w:tc>
          <w:tcPr>
            <w:tcW w:w="997"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23</w:t>
            </w:r>
          </w:p>
        </w:tc>
        <w:tc>
          <w:tcPr>
            <w:tcW w:w="1134"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26</w:t>
            </w:r>
          </w:p>
        </w:tc>
        <w:tc>
          <w:tcPr>
            <w:tcW w:w="1134"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24</w:t>
            </w:r>
          </w:p>
        </w:tc>
        <w:tc>
          <w:tcPr>
            <w:tcW w:w="1181"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26</w:t>
            </w:r>
          </w:p>
        </w:tc>
        <w:tc>
          <w:tcPr>
            <w:tcW w:w="1087"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30</w:t>
            </w:r>
          </w:p>
        </w:tc>
        <w:tc>
          <w:tcPr>
            <w:tcW w:w="1134"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35</w:t>
            </w:r>
          </w:p>
        </w:tc>
        <w:tc>
          <w:tcPr>
            <w:tcW w:w="1134" w:type="dxa"/>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36</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你作为Y品牌的常温奶业务负责人在周一（14日）早上到店巡店时，发现超市常温牛奶还有35箱库存，由于考虑到运输成本，公司规定每周统一配送一次，B大学超市的配送时间安排在周一下午。根据以往销售经验，下周的销售数量将达到本周销量的1.5倍，请问超市在周一需要订货并配送多少箱牛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参考答案：265箱</w:t>
      </w:r>
    </w:p>
    <w:p>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ind w:firstLine="482"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bCs/>
          <w:sz w:val="24"/>
          <w:szCs w:val="24"/>
          <w:lang w:val="en-US" w:eastAsia="zh-CN"/>
        </w:rPr>
        <w:t>2.</w:t>
      </w:r>
      <w:r>
        <w:rPr>
          <w:rFonts w:hint="eastAsia" w:asciiTheme="majorEastAsia" w:hAnsiTheme="majorEastAsia" w:eastAsiaTheme="majorEastAsia" w:cstheme="majorEastAsia"/>
          <w:b/>
          <w:bCs/>
          <w:sz w:val="24"/>
          <w:szCs w:val="24"/>
        </w:rPr>
        <w:t>什么是产品整体概念?</w:t>
      </w:r>
      <w:r>
        <w:rPr>
          <w:rFonts w:hint="eastAsia" w:asciiTheme="majorEastAsia" w:hAnsiTheme="majorEastAsia" w:eastAsiaTheme="majorEastAsia" w:cstheme="maj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参考答案：产品定义，核心产品、有形产品、附加产品</w:t>
      </w:r>
    </w:p>
    <w:p>
      <w:p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二、论述题（30分）</w:t>
      </w:r>
    </w:p>
    <w:p>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ind w:firstLine="482" w:firstLineChars="200"/>
        <w:textAlignment w:val="auto"/>
        <w:rPr>
          <w:rFonts w:hint="default"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rPr>
        <w:t>企业管理的内容主要</w:t>
      </w:r>
      <w:r>
        <w:rPr>
          <w:rFonts w:hint="eastAsia" w:asciiTheme="majorEastAsia" w:hAnsiTheme="majorEastAsia" w:eastAsiaTheme="majorEastAsia" w:cstheme="majorEastAsia"/>
          <w:b/>
          <w:bCs/>
          <w:sz w:val="24"/>
          <w:szCs w:val="24"/>
          <w:lang w:val="en-US" w:eastAsia="zh-CN"/>
        </w:rPr>
        <w:t>包括哪些？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参考答案：</w:t>
      </w:r>
      <w:r>
        <w:rPr>
          <w:rFonts w:hint="eastAsia" w:asciiTheme="majorEastAsia" w:hAnsiTheme="majorEastAsia" w:eastAsiaTheme="majorEastAsia" w:cstheme="majorEastAsia"/>
          <w:sz w:val="24"/>
          <w:szCs w:val="24"/>
        </w:rPr>
        <w:t>企业战略管理——是从企业的长期和总体发展为出发点，研究企业的经营战略思想、战略目标、战略体系及其任务、战略过程、战略措施等内容。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市场调查与预测管理——研究企业的目标市场，以及相应的市场机会和市场战略，这部分内容将放在企业营销管理一章中展开研究。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新产品开发管理——本章将着重研究新产品开发的意义，开发的方式，开发的策略，开发的程序等内容。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企业生产管理——广义的生产管理是包括生产过程管理、质量管理、技术与设备管理、物资与仓库管理等，与生产过程有关的各项活动的管理。本课程着重讲述企业的生产过程管理（狭义的生产管理）和企业质量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企业人力资源管理——研究企业人力资源的规划、工作分析、人力资源得选聘、激励、以及人力资源的培训与发展等活动。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企业财务管理——着重研究企业资金的筹措、资金的投放和使用，以及资金的收入和分配等企业资金的运动过程。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企业营销管理——包括：分析企业的营销机会、确定营销战略、实施营销组合、加强营销活动的控制等内容。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企业文化管理——将研究企业文化的概念、结构与功能，分析企业建立的意义、原则和步骤，并结合典型案例分析成功与失败的企业文化。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企业管理创新——研究企业经营方式的创新、企业组织制度的创新、企业技术创新、企业文化创新等企业管理创新体系。</w:t>
      </w:r>
    </w:p>
    <w:p>
      <w:pPr>
        <w:spacing w:line="276" w:lineRule="auto"/>
        <w:jc w:val="left"/>
        <w:rPr>
          <w:rFonts w:hint="eastAsia"/>
          <w:b/>
          <w:bCs/>
          <w:sz w:val="28"/>
          <w:szCs w:val="28"/>
          <w:lang w:val="en-US" w:eastAsia="zh-CN"/>
        </w:rPr>
      </w:pPr>
      <w:r>
        <w:rPr>
          <w:rFonts w:hint="eastAsia"/>
          <w:b/>
          <w:bCs/>
          <w:sz w:val="28"/>
          <w:szCs w:val="28"/>
          <w:lang w:val="en-US" w:eastAsia="zh-CN"/>
        </w:rPr>
        <w:t>三、案例题（40分）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在 2016 年岁末的海口，金立发布了旗下年度旗舰新品“M2017 ”，顶配版过万，只接受私人定制，全球限量发售。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在华为手机价格突破4000元禁区后，金立竟将年度旗舰手机价格定在了6 000元以上，私人定制版甚至高达16999元。在董事长刘立荣看来，金立的目6000元并不是一个很高的坎，目标用户需要一款有别于苹果，同时又可以彰显身份的特色产品。金立M2017就扮演了这样的角色集大成者，可以超过苹果手机的用户体验和身份认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尽管发布会之前已经得知，金立M2017将是一款定位于商务的高价手机。但在价格公布之后，仍是让在场的媒体一片唏嘘:金立此前产品最高4000元左右(定位商务的W系列)，而此款产品直接提升至6999元。在国产手机中，4 000元已经是“天花板”了。金立M2017的6 999元和鳄鱼皮私人定制版16999元的价格是由董事长亲自拍板决定的。金立将价格定为6999元主要有四个原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其一是为了满足特定人群的需求。金立的很多目标客户用的是苹果，但其实他们不太愿意用苹果，因为很多人都在用，但又不愿意用一部2000-3000元甚至更便宜的手机。因此，M2017是为了满足目标客户的差异化需求。M2017的目标用户主要由政商高端人士和区域大佬构成，都是有影响力的消费群体。因此，金立M2017选择让著名导演冯小刚及夫人徐帆代言，借此向外传递“‘科技十人文”的理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其二是M2017在配置上是一个集大成者，几乎拥有目前所有流行的顶配，1200万十1300万光学双倍变焦双摄、6GB+128GB内存、5.7英寸2K曲面屏、高骁龙处理器、7 000毫安时电池、内置安全加密芯片、活体指纹、小牛皮背壳等等。金立M2017的2K曲面屏来自三星，订单是100万部。这也是M2017的目标销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其三是考虑到2016年金立4000元价位段的手机销量。该价位段手机销量非常好，达到了50万~60万部。金立势必会下功夫激励、诱导这些忠诚客户购买M2017。</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其四，M2017的定价更是为了提升全立的品牌溢价。现在手机厂商的竞争模式已经不仅仅是成本、价格的竞争，最核心的价值是品牌，或者说具备溢价能力的品牌才能生存。所以，几乎所有的手机品都在做一件事情，就是要进攻高端，提升品牌的溢价能力。单纯的价格战已经不足上年以维持企业的生存，这也是金立推出M2017的一个重要原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元器件价格的不断上涨是手机厂商必须不断提升溢价能力的一个很重要因素。从2016年上半年开始，LCD显示屏就一直缺货，厂家的价格涨了3倍。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M2017的推出不仅可以提升高端产品的销量，同时也会带动中低端的销量。2016年金立品牌采取了不少创新的营销手段，例如，邀请冯小刚和余文乐进行代言，还赞助了娱乐电视节目等。金立在2016年的全球出货量超过4 000万部，较上年的3 000万部增长超过30%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1.如何理解当时金立手机的高价策略?你认为这种策略能够收到理想的效果吗?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参考答案：金立手机高价策略目的在于将目标市场定位于高端人士。这种策略难以收到理想效果，当时高端手机市场需求仍有待培植，并且金立以往手机的目标市场并非高端用户，其品牌形象不一定能使用户彰显身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2.金立手机坚持高价策略的理由是否充足?假如你是金立的高管，你将如何看待这个问题?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参考答案：金立手机坚持高价的理由不充足，忠诚顾客并不一定会购买此款高端手机，苹果手机高价位和高质量的品牌形象已经在大众心中形成，金立手机难以取而代之。我会建议对已有的忠诚顾客以及潜在高端客户进行调查访问，了解其对金立品牌的看法和需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3.金立手机采取了哪些定价方法?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参考答案：金立手机采取了尾数定价和声望定价的方法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F4603"/>
    <w:rsid w:val="10187FA7"/>
    <w:rsid w:val="158700B5"/>
    <w:rsid w:val="1B9C06DD"/>
    <w:rsid w:val="1D430730"/>
    <w:rsid w:val="22930B52"/>
    <w:rsid w:val="372A7371"/>
    <w:rsid w:val="38AF4603"/>
    <w:rsid w:val="3E003292"/>
    <w:rsid w:val="3F2C1AC7"/>
    <w:rsid w:val="47283E47"/>
    <w:rsid w:val="54105CE9"/>
    <w:rsid w:val="56EC69A7"/>
    <w:rsid w:val="5EFB7AF3"/>
    <w:rsid w:val="70FB20C1"/>
    <w:rsid w:val="726B70F0"/>
    <w:rsid w:val="73B417D4"/>
    <w:rsid w:val="744B0F11"/>
    <w:rsid w:val="7F6F5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uiPriority w:val="0"/>
    <w:pPr>
      <w:widowControl/>
      <w:spacing w:before="60" w:beforeLines="0" w:after="60" w:afterLines="0"/>
      <w:jc w:val="left"/>
      <w:outlineLvl w:val="1"/>
    </w:pPr>
    <w:rPr>
      <w:rFonts w:ascii="宋体" w:hAnsi="宋体" w:eastAsia="宋体" w:cs="宋体"/>
      <w:bCs/>
      <w:kern w:val="0"/>
      <w:sz w:val="28"/>
      <w:szCs w:val="34"/>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2021-03-22T09:43:00Z</dcterms:created>
  <dcterms:modified xsi:type="dcterms:W3CDTF">2021-03-30T02:44:53Z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F7027786949F4715A5E9B8C2A1B6CA2A</vt:lpwstr>
  </property>
</Properties>
</file>